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68" w:rsidRDefault="008E0468" w:rsidP="008E0468">
      <w:pPr>
        <w:spacing w:after="0" w:line="270" w:lineRule="auto"/>
        <w:ind w:right="5" w:firstLine="0"/>
        <w:jc w:val="left"/>
        <w:rPr>
          <w:sz w:val="24"/>
          <w:szCs w:val="24"/>
          <w:lang w:val="ru-RU"/>
        </w:rPr>
      </w:pPr>
    </w:p>
    <w:tbl>
      <w:tblPr>
        <w:tblStyle w:val="af2"/>
        <w:tblW w:w="14850" w:type="dxa"/>
        <w:tblLook w:val="04A0" w:firstRow="1" w:lastRow="0" w:firstColumn="1" w:lastColumn="0" w:noHBand="0" w:noVBand="1"/>
      </w:tblPr>
      <w:tblGrid>
        <w:gridCol w:w="882"/>
        <w:gridCol w:w="3032"/>
        <w:gridCol w:w="2756"/>
        <w:gridCol w:w="2398"/>
        <w:gridCol w:w="2797"/>
        <w:gridCol w:w="2985"/>
      </w:tblGrid>
      <w:tr w:rsidR="00187E18" w:rsidRPr="00187E18" w:rsidTr="00BA2D0F">
        <w:trPr>
          <w:trHeight w:val="499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E18" w:rsidRPr="00EC682B" w:rsidRDefault="00187E18" w:rsidP="00187E18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Приложение №1  </w:t>
            </w:r>
          </w:p>
        </w:tc>
      </w:tr>
      <w:tr w:rsidR="00F639FD" w:rsidRPr="008E0468" w:rsidTr="00BA2D0F">
        <w:trPr>
          <w:trHeight w:val="499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9FD" w:rsidRPr="00EC682B" w:rsidRDefault="00F639FD" w:rsidP="00BA2D0F">
            <w:pPr>
              <w:jc w:val="center"/>
              <w:rPr>
                <w:sz w:val="32"/>
                <w:szCs w:val="32"/>
              </w:rPr>
            </w:pPr>
            <w:r w:rsidRPr="00EC682B">
              <w:rPr>
                <w:sz w:val="32"/>
                <w:szCs w:val="32"/>
              </w:rPr>
              <w:t>Карта коррупционных рисков</w:t>
            </w:r>
          </w:p>
          <w:p w:rsidR="00F639FD" w:rsidRPr="00EC682B" w:rsidRDefault="00F639FD" w:rsidP="00BA2D0F">
            <w:pPr>
              <w:jc w:val="center"/>
              <w:rPr>
                <w:sz w:val="24"/>
                <w:szCs w:val="24"/>
              </w:rPr>
            </w:pPr>
            <w:r w:rsidRPr="00EC682B">
              <w:rPr>
                <w:sz w:val="32"/>
                <w:szCs w:val="32"/>
              </w:rPr>
              <w:t>Администрации</w:t>
            </w:r>
            <w:r w:rsidR="00F20D5C">
              <w:rPr>
                <w:sz w:val="32"/>
                <w:szCs w:val="32"/>
              </w:rPr>
              <w:t xml:space="preserve"> </w:t>
            </w:r>
            <w:proofErr w:type="spellStart"/>
            <w:r w:rsidR="00F20D5C">
              <w:rPr>
                <w:sz w:val="32"/>
                <w:szCs w:val="32"/>
              </w:rPr>
              <w:t>Сухореченского</w:t>
            </w:r>
            <w:proofErr w:type="spellEnd"/>
            <w:r w:rsidR="00F20D5C">
              <w:rPr>
                <w:sz w:val="32"/>
                <w:szCs w:val="32"/>
              </w:rPr>
              <w:t xml:space="preserve"> сельского поселения</w:t>
            </w:r>
            <w:r w:rsidRPr="00EC682B">
              <w:rPr>
                <w:sz w:val="32"/>
                <w:szCs w:val="32"/>
              </w:rPr>
              <w:t xml:space="preserve"> </w:t>
            </w:r>
            <w:proofErr w:type="spellStart"/>
            <w:r w:rsidRPr="00EC682B">
              <w:rPr>
                <w:sz w:val="32"/>
                <w:szCs w:val="32"/>
              </w:rPr>
              <w:t>Карталинского</w:t>
            </w:r>
            <w:proofErr w:type="spellEnd"/>
            <w:r w:rsidRPr="00EC682B">
              <w:rPr>
                <w:sz w:val="32"/>
                <w:szCs w:val="32"/>
              </w:rPr>
              <w:t xml:space="preserve"> муниципального района</w:t>
            </w:r>
          </w:p>
        </w:tc>
      </w:tr>
      <w:tr w:rsidR="00F639FD" w:rsidRPr="008E0468" w:rsidTr="008E0468"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639FD" w:rsidRPr="00EC682B" w:rsidRDefault="00F639FD" w:rsidP="00F639FD">
            <w:pPr>
              <w:spacing w:after="60" w:line="220" w:lineRule="exact"/>
              <w:ind w:left="-567"/>
              <w:jc w:val="left"/>
              <w:rPr>
                <w:sz w:val="24"/>
                <w:szCs w:val="24"/>
              </w:rPr>
            </w:pPr>
          </w:p>
          <w:p w:rsidR="00F639FD" w:rsidRPr="00EC682B" w:rsidRDefault="00F639FD" w:rsidP="00F639FD">
            <w:pPr>
              <w:spacing w:before="60" w:line="220" w:lineRule="exact"/>
              <w:ind w:left="-567"/>
              <w:jc w:val="left"/>
              <w:rPr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№п</w:t>
            </w:r>
            <w:r w:rsidRPr="00EC682B">
              <w:rPr>
                <w:rStyle w:val="21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</w:tcBorders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Краткое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наименование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коррупционного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риска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</w:tcBorders>
            <w:vAlign w:val="center"/>
          </w:tcPr>
          <w:p w:rsidR="00F639FD" w:rsidRPr="00EC682B" w:rsidRDefault="00F639FD" w:rsidP="00BA2D0F">
            <w:pPr>
              <w:ind w:left="780"/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vAlign w:val="bottom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</w:tcBorders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F639FD" w:rsidRPr="00EC682B" w:rsidTr="008E0468">
        <w:tc>
          <w:tcPr>
            <w:tcW w:w="882" w:type="dxa"/>
            <w:vMerge/>
          </w:tcPr>
          <w:p w:rsidR="00F639FD" w:rsidRPr="00EC682B" w:rsidRDefault="00F639FD" w:rsidP="00F639FD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spacing w:line="220" w:lineRule="exact"/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Реализуемые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spacing w:line="220" w:lineRule="exact"/>
              <w:rPr>
                <w:sz w:val="24"/>
                <w:szCs w:val="24"/>
              </w:rPr>
            </w:pPr>
            <w:r w:rsidRPr="00EC682B">
              <w:rPr>
                <w:rStyle w:val="21"/>
                <w:rFonts w:eastAsiaTheme="minorEastAsia"/>
                <w:sz w:val="24"/>
                <w:szCs w:val="24"/>
              </w:rPr>
              <w:t>Предлагаемые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Определение приоритетов на закупку товаров, работ, услуг.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Расстановка мнимых приоритетов по объекту закупки, объемам, срокам, удовлетворения потребности. Лоббирование инвестиций в нужную сферу бизнеса.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Определение круга и места расположения потребителей, объема потребления. Определение объема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необходимых средств, направляемых на закупку товаров, работ, услуг.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lastRenderedPageBreak/>
              <w:t xml:space="preserve">Начальники отделов.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F639FD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Обязательное обоснование способа определения поставщика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F639FD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Разработка и внедрение системы эффективного планирования закупок.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 xml:space="preserve">(работнике), его близких родственниках. Осуществление антикоррупционной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t>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Формирование</w:t>
            </w:r>
          </w:p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плана-графика</w:t>
            </w:r>
          </w:p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закупок.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Необоснованное сокращение срока исполнения контракта, в результате чего может участвовать только та компания, которая, либо имеет инсайдерскую информацию о закупке, либо уже наполовину выполнила предлагаемый контракт. Необоснованное затягивание или ускорение процесса закупки. Определение поставщика аврально в конце года.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Мониторинг условий исполнения контрактов на предмет необоснованного сокращения сроков. Обоснование предлагаемых условий исполнения контрактов.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ind w:left="20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Обоснование начальных (максимальных) цен контрактов.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При подготовке обоснования начальной (максимальной) цены контракта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необоснованно завышена (занижена) начальная (максимальная) цена контракта.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Обязательное обоснование начальных (максимальных) цен контрактов, включая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обоснование при закупке с единственным поставщиком (подрядчиком, исполнителем).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 xml:space="preserve">Проведение мониторинга цен на товары, работы и услуги в целях недопущения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завышения начальных (максимальных) цен контрактов при осуществлении закупки.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Выбор способа определения поставщика.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Неадекватный выбор способа закупки по срокам, цене, объему, особенностям объекта закупки, конкурентоспособности и специфики рынка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поставщиков. Преднамеренная подмена одного способа закупки другим.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lastRenderedPageBreak/>
              <w:t xml:space="preserve">Начальники отделов.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Обоснование способа определения поставщика. Определение поставщика преимущественно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конкурентными способами.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 xml:space="preserve">Внедрение системы эффективного планирования закупок. Анализ декларации о возможной личной заинтересованности, обязательства о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</w:tcPr>
          <w:p w:rsidR="00F639FD" w:rsidRPr="00EC682B" w:rsidRDefault="00F639FD" w:rsidP="00F639FD">
            <w:pPr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Выбор способа размещения заказа.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Закупка у единственного поставщика. 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Начальники отделов.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Прием заявок на участие в конкурсе, аукционе, запросе котировок, запросе предложений.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ind w:left="140" w:firstLine="152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Предоставление неполной или разной информации о закупке, подмена. Прямые контакты и переговоры с поставщиком. Дискриминационные изменения документации.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ind w:left="160" w:firstLine="72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Создание системы, исключающий личный контакт специалистов, ответственных за определение поставщиков с участниками закупок.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BA2D0F">
            <w:pPr>
              <w:ind w:left="20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Разработка типовых форм заявок участников закупок. Анализ декларации о возможной личной заинтересованности, обязательства о неразглашении конфиденциальной информации, не содержащих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rStyle w:val="22"/>
                <w:rFonts w:eastAsiaTheme="minorEastAsia"/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Прием заявок на участие в конкурсе, аукционе, запросе котировок, запросе предложений.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ind w:left="140" w:firstLine="152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Предоставление неполной или разной информации о закупке, подмена. Прямые контакты и переговоры с поставщиком. Дискриминационные изменения документации.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ind w:left="160" w:firstLine="72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Создание системы, исключающий личный контакт специалистов, ответственных за определение поставщиков с участниками закупок.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BA2D0F">
            <w:pPr>
              <w:ind w:left="20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Разработка типовых форм заявок участников закупок. Анализ декларации о возможной личной заинтересованности, обязательства о неразглашении конфиденциальной информации, не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rStyle w:val="22"/>
                <w:rFonts w:eastAsiaTheme="minorEastAsia"/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2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Рассмотрение и оценка заявок на участие.</w:t>
            </w:r>
          </w:p>
        </w:tc>
        <w:tc>
          <w:tcPr>
            <w:tcW w:w="2756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Необоснованная дискриминация в отношении поставщиков при рассмотрении и оценке заявок.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Необоснованные преимущества поставщикам. Использование необъявленных или недопустимых критериев оценки заявок, условий допуска к участию в закупке.</w:t>
            </w:r>
          </w:p>
        </w:tc>
        <w:tc>
          <w:tcPr>
            <w:tcW w:w="2398" w:type="dxa"/>
            <w:vAlign w:val="center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Проведение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разъяснительной работы среди участников закупок по порядку оформления и подачи заявок.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Приглашение на рассмотрение сотрудников профильных отделов.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rStyle w:val="22"/>
                <w:rFonts w:eastAsiaTheme="minorEastAsia"/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2" w:type="dxa"/>
          </w:tcPr>
          <w:p w:rsidR="00F639FD" w:rsidRPr="00EC682B" w:rsidRDefault="00F639FD" w:rsidP="00BA2D0F">
            <w:pPr>
              <w:spacing w:after="120" w:line="220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Заключение</w:t>
            </w:r>
          </w:p>
          <w:p w:rsidR="00F639FD" w:rsidRPr="00EC682B" w:rsidRDefault="00F639FD" w:rsidP="00BA2D0F">
            <w:pPr>
              <w:spacing w:before="120" w:line="220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контракта.</w:t>
            </w:r>
          </w:p>
        </w:tc>
        <w:tc>
          <w:tcPr>
            <w:tcW w:w="2756" w:type="dxa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Затягивание процедуры обжалования результатов закупки. Необоснованное изменение условий контракта. Затягивание заключения контракта. Необоснованный отказ от заключения контракта.</w:t>
            </w:r>
          </w:p>
        </w:tc>
        <w:tc>
          <w:tcPr>
            <w:tcW w:w="2398" w:type="dxa"/>
          </w:tcPr>
          <w:p w:rsidR="00F639FD" w:rsidRPr="00EC682B" w:rsidRDefault="00F639FD" w:rsidP="00F639FD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</w:p>
        </w:tc>
        <w:tc>
          <w:tcPr>
            <w:tcW w:w="2797" w:type="dxa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Мониторинг заключенных контрактов. Подготовка, сбор и направление проектов контрактов победителям.</w:t>
            </w:r>
          </w:p>
        </w:tc>
        <w:tc>
          <w:tcPr>
            <w:tcW w:w="2985" w:type="dxa"/>
            <w:vAlign w:val="bottom"/>
          </w:tcPr>
          <w:p w:rsidR="00F639FD" w:rsidRPr="00EC682B" w:rsidRDefault="00F639FD" w:rsidP="00BA2D0F">
            <w:pPr>
              <w:ind w:left="20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Заключение по конкурентным способам. Анализ декларации о возможной личной заинтересованности, обязательства о неразглашении конфиденциальной информации, не содержащих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rStyle w:val="22"/>
                <w:rFonts w:eastAsiaTheme="minorEastAsia"/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3032" w:type="dxa"/>
          </w:tcPr>
          <w:p w:rsidR="00F639FD" w:rsidRPr="00EC682B" w:rsidRDefault="00F639FD" w:rsidP="00BA2D0F">
            <w:pPr>
              <w:spacing w:line="278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Администрирование контракта.</w:t>
            </w:r>
          </w:p>
        </w:tc>
        <w:tc>
          <w:tcPr>
            <w:tcW w:w="2756" w:type="dxa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Затягивание предоставления информации, необходимых материалов для исполнения контракта. Обременение контракта дополнительными необъявленными условиями.</w:t>
            </w:r>
          </w:p>
        </w:tc>
        <w:tc>
          <w:tcPr>
            <w:tcW w:w="2398" w:type="dxa"/>
          </w:tcPr>
          <w:p w:rsidR="00413971" w:rsidRDefault="00413971" w:rsidP="00BA2D0F">
            <w:pPr>
              <w:rPr>
                <w:rStyle w:val="22"/>
                <w:rFonts w:eastAsiaTheme="minorEastAsia"/>
                <w:sz w:val="24"/>
                <w:szCs w:val="24"/>
              </w:rPr>
            </w:pPr>
          </w:p>
          <w:p w:rsidR="00F639FD" w:rsidRPr="00EC682B" w:rsidRDefault="00F639FD" w:rsidP="00413971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  <w:r w:rsidR="00413971">
              <w:rPr>
                <w:rStyle w:val="22"/>
                <w:rFonts w:eastAsiaTheme="minorEastAsia"/>
                <w:sz w:val="24"/>
                <w:szCs w:val="24"/>
              </w:rPr>
              <w:t xml:space="preserve"> Лица ответственные за приемку товара (работы, услуги).</w:t>
            </w:r>
          </w:p>
        </w:tc>
        <w:tc>
          <w:tcPr>
            <w:tcW w:w="2797" w:type="dxa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Проведение мониторинга исполнения контракта. Разработка и применение типовых контрактов по видам товаров, работ, услуг.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Управление рисками, возникающими при исполнении контракта.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F639FD" w:rsidRPr="008E0468" w:rsidTr="008E0468">
        <w:tc>
          <w:tcPr>
            <w:tcW w:w="882" w:type="dxa"/>
            <w:vAlign w:val="center"/>
          </w:tcPr>
          <w:p w:rsidR="00F639FD" w:rsidRPr="00EC682B" w:rsidRDefault="00F639FD" w:rsidP="00F639FD">
            <w:pPr>
              <w:spacing w:line="220" w:lineRule="exact"/>
              <w:ind w:left="-567"/>
              <w:jc w:val="left"/>
              <w:rPr>
                <w:rStyle w:val="22"/>
                <w:rFonts w:eastAsiaTheme="minorEastAsia"/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2" w:type="dxa"/>
          </w:tcPr>
          <w:p w:rsidR="00F639FD" w:rsidRPr="00EC682B" w:rsidRDefault="00F639FD" w:rsidP="00BA2D0F">
            <w:pPr>
              <w:spacing w:after="120" w:line="220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Приемка</w:t>
            </w:r>
          </w:p>
          <w:p w:rsidR="00F639FD" w:rsidRPr="00EC682B" w:rsidRDefault="00F639FD" w:rsidP="00BA2D0F">
            <w:pPr>
              <w:spacing w:before="120" w:line="220" w:lineRule="exact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продукции.</w:t>
            </w:r>
          </w:p>
        </w:tc>
        <w:tc>
          <w:tcPr>
            <w:tcW w:w="2756" w:type="dxa"/>
            <w:vAlign w:val="bottom"/>
          </w:tcPr>
          <w:p w:rsidR="00F639FD" w:rsidRPr="00EC682B" w:rsidRDefault="00F639FD" w:rsidP="00413971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Необоснованные жесткие (мягкие) или необъявленные условия приемки продукции по контракту.</w:t>
            </w:r>
          </w:p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Необоснованное затягивание (ускорение) приемки и оплаты по контракту. Необоснованное претензии по объему и срокам гарантий.</w:t>
            </w:r>
          </w:p>
        </w:tc>
        <w:tc>
          <w:tcPr>
            <w:tcW w:w="2398" w:type="dxa"/>
          </w:tcPr>
          <w:p w:rsidR="00F639FD" w:rsidRPr="00EC682B" w:rsidRDefault="00F639FD" w:rsidP="00413971">
            <w:pPr>
              <w:ind w:firstLine="0"/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Специалисты, ответственные за осуществление закупок.</w:t>
            </w:r>
            <w:r w:rsidR="00413971" w:rsidRPr="00EC682B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413971">
              <w:rPr>
                <w:rStyle w:val="22"/>
                <w:rFonts w:eastAsiaTheme="minorEastAsia"/>
                <w:sz w:val="24"/>
                <w:szCs w:val="24"/>
              </w:rPr>
              <w:t>Лица ответственные за приемку товара (работы, услуги).</w:t>
            </w:r>
          </w:p>
        </w:tc>
        <w:tc>
          <w:tcPr>
            <w:tcW w:w="2797" w:type="dxa"/>
          </w:tcPr>
          <w:p w:rsidR="00F639FD" w:rsidRPr="00EC682B" w:rsidRDefault="00F639FD" w:rsidP="00BA2D0F">
            <w:pPr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Проведение мониторинга исполнения контрактов. Разработка и применение типовых условий приемки продукции.</w:t>
            </w:r>
          </w:p>
        </w:tc>
        <w:tc>
          <w:tcPr>
            <w:tcW w:w="2985" w:type="dxa"/>
            <w:vAlign w:val="center"/>
          </w:tcPr>
          <w:p w:rsidR="00F639FD" w:rsidRPr="00EC682B" w:rsidRDefault="00F639FD" w:rsidP="00BA2D0F">
            <w:pPr>
              <w:tabs>
                <w:tab w:val="right" w:pos="3090"/>
              </w:tabs>
              <w:rPr>
                <w:sz w:val="24"/>
                <w:szCs w:val="24"/>
              </w:rPr>
            </w:pPr>
            <w:r w:rsidRPr="00EC682B">
              <w:rPr>
                <w:rStyle w:val="22"/>
                <w:rFonts w:eastAsiaTheme="minorEastAsia"/>
                <w:sz w:val="24"/>
                <w:szCs w:val="24"/>
              </w:rPr>
              <w:t>Обучение специалистов по приемке продукции. Анализ декларации о возможной личной заинтересованности, обязательства о неразглашении конфиденциальной</w:t>
            </w:r>
            <w:r w:rsidRPr="00EC682B">
              <w:rPr>
                <w:sz w:val="24"/>
                <w:szCs w:val="24"/>
              </w:rPr>
              <w:t xml:space="preserve"> </w:t>
            </w:r>
            <w:r w:rsidRPr="00EC682B">
              <w:rPr>
                <w:sz w:val="24"/>
                <w:szCs w:val="24"/>
                <w:lang w:bidi="ru-RU"/>
              </w:rPr>
              <w:t>информации, не содержащих сведений,</w:t>
            </w:r>
            <w:r w:rsidRPr="00EC682B">
              <w:rPr>
                <w:sz w:val="24"/>
                <w:szCs w:val="24"/>
              </w:rPr>
              <w:t xml:space="preserve"> </w:t>
            </w:r>
            <w:r w:rsidRPr="00EC682B">
              <w:rPr>
                <w:sz w:val="24"/>
                <w:szCs w:val="24"/>
                <w:lang w:bidi="ru-RU"/>
              </w:rPr>
              <w:t>составляющих</w:t>
            </w:r>
            <w:r w:rsidRPr="00EC682B">
              <w:rPr>
                <w:rStyle w:val="22"/>
                <w:rFonts w:eastAsiaTheme="minorEastAsia"/>
                <w:sz w:val="24"/>
                <w:szCs w:val="24"/>
              </w:rPr>
              <w:t xml:space="preserve"> государственную тайну. 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</w:tbl>
    <w:p w:rsidR="00F639FD" w:rsidRPr="00F639FD" w:rsidRDefault="00F639FD" w:rsidP="00F639FD">
      <w:pPr>
        <w:rPr>
          <w:sz w:val="24"/>
          <w:szCs w:val="24"/>
          <w:lang w:val="ru-RU"/>
        </w:rPr>
      </w:pPr>
    </w:p>
    <w:p w:rsidR="00F639FD" w:rsidRDefault="00F639FD" w:rsidP="0090183C">
      <w:pPr>
        <w:ind w:right="0" w:firstLine="0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</w:p>
    <w:sectPr w:rsidR="00F639FD" w:rsidSect="00F639F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702" w:right="1407" w:bottom="777" w:left="113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9D" w:rsidRDefault="0054099D">
      <w:pPr>
        <w:spacing w:after="0" w:line="240" w:lineRule="auto"/>
      </w:pPr>
      <w:r>
        <w:separator/>
      </w:r>
    </w:p>
  </w:endnote>
  <w:endnote w:type="continuationSeparator" w:id="0">
    <w:p w:rsidR="0054099D" w:rsidRDefault="0054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A" w:rsidRDefault="00E7337A">
    <w:pPr>
      <w:pStyle w:val="a4"/>
    </w:pPr>
  </w:p>
  <w:p w:rsidR="00E7337A" w:rsidRDefault="00E733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9D" w:rsidRDefault="0054099D">
      <w:pPr>
        <w:spacing w:after="0" w:line="261" w:lineRule="auto"/>
        <w:ind w:right="7" w:firstLine="0"/>
      </w:pPr>
      <w:r>
        <w:separator/>
      </w:r>
    </w:p>
  </w:footnote>
  <w:footnote w:type="continuationSeparator" w:id="0">
    <w:p w:rsidR="0054099D" w:rsidRDefault="0054099D">
      <w:pPr>
        <w:spacing w:after="0" w:line="261" w:lineRule="auto"/>
        <w:ind w:right="7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24" w:rsidRDefault="0047582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C" w:rsidRPr="003B528B" w:rsidRDefault="00F924CC">
    <w:pPr>
      <w:pStyle w:val="af0"/>
      <w:jc w:val="center"/>
      <w:rPr>
        <w:rFonts w:ascii="Times New Roman" w:hAnsi="Times New Roman"/>
        <w:sz w:val="28"/>
        <w:szCs w:val="28"/>
      </w:rPr>
    </w:pPr>
  </w:p>
  <w:p w:rsidR="00475824" w:rsidRDefault="00475824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24" w:rsidRDefault="0047582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8FD"/>
    <w:multiLevelType w:val="hybridMultilevel"/>
    <w:tmpl w:val="605C24B4"/>
    <w:lvl w:ilvl="0" w:tplc="987AF0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2E5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63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8BD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09A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874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A6E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CB9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A3E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4226D"/>
    <w:multiLevelType w:val="hybridMultilevel"/>
    <w:tmpl w:val="EAB23B96"/>
    <w:lvl w:ilvl="0" w:tplc="4A2AB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C89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AF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048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84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4E1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2C6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839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4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A6670"/>
    <w:multiLevelType w:val="hybridMultilevel"/>
    <w:tmpl w:val="32F2BABC"/>
    <w:lvl w:ilvl="0" w:tplc="300A35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A2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00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A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CB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86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2A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806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6C5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D6F81"/>
    <w:multiLevelType w:val="hybridMultilevel"/>
    <w:tmpl w:val="D16EE062"/>
    <w:lvl w:ilvl="0" w:tplc="A0C2DD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C541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0D1E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6A85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D1B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C5C2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60CF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CF80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E718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51201"/>
    <w:multiLevelType w:val="multilevel"/>
    <w:tmpl w:val="C72A28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B3BE6"/>
    <w:multiLevelType w:val="multilevel"/>
    <w:tmpl w:val="6D04C4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71CBB"/>
    <w:multiLevelType w:val="hybridMultilevel"/>
    <w:tmpl w:val="E7A40CB0"/>
    <w:lvl w:ilvl="0" w:tplc="FE826A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26B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00A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7E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C5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247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49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208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4E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7F63"/>
    <w:multiLevelType w:val="hybridMultilevel"/>
    <w:tmpl w:val="B4C8E410"/>
    <w:lvl w:ilvl="0" w:tplc="BCD03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2F9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3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E0A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C0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A868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7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5E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F0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F29CF"/>
    <w:multiLevelType w:val="hybridMultilevel"/>
    <w:tmpl w:val="65086E86"/>
    <w:lvl w:ilvl="0" w:tplc="974EF8F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0DE3A">
      <w:start w:val="1"/>
      <w:numFmt w:val="lowerLetter"/>
      <w:lvlText w:val="%2"/>
      <w:lvlJc w:val="left"/>
      <w:pPr>
        <w:ind w:left="30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8A28A">
      <w:start w:val="1"/>
      <w:numFmt w:val="lowerRoman"/>
      <w:lvlText w:val="%3"/>
      <w:lvlJc w:val="left"/>
      <w:pPr>
        <w:ind w:left="37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E8758">
      <w:start w:val="1"/>
      <w:numFmt w:val="decimal"/>
      <w:lvlText w:val="%4"/>
      <w:lvlJc w:val="left"/>
      <w:pPr>
        <w:ind w:left="44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8499A">
      <w:start w:val="1"/>
      <w:numFmt w:val="lowerLetter"/>
      <w:lvlText w:val="%5"/>
      <w:lvlJc w:val="left"/>
      <w:pPr>
        <w:ind w:left="51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E510C">
      <w:start w:val="1"/>
      <w:numFmt w:val="lowerRoman"/>
      <w:lvlText w:val="%6"/>
      <w:lvlJc w:val="left"/>
      <w:pPr>
        <w:ind w:left="58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52DA">
      <w:start w:val="1"/>
      <w:numFmt w:val="decimal"/>
      <w:lvlText w:val="%7"/>
      <w:lvlJc w:val="left"/>
      <w:pPr>
        <w:ind w:left="66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1608">
      <w:start w:val="1"/>
      <w:numFmt w:val="lowerLetter"/>
      <w:lvlText w:val="%8"/>
      <w:lvlJc w:val="left"/>
      <w:pPr>
        <w:ind w:left="73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4124C">
      <w:start w:val="1"/>
      <w:numFmt w:val="lowerRoman"/>
      <w:lvlText w:val="%9"/>
      <w:lvlJc w:val="left"/>
      <w:pPr>
        <w:ind w:left="80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BA13B6"/>
    <w:multiLevelType w:val="hybridMultilevel"/>
    <w:tmpl w:val="E20A4962"/>
    <w:lvl w:ilvl="0" w:tplc="A77A8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204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EE9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0A9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A8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C2E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64C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A0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6C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B357B"/>
    <w:multiLevelType w:val="multilevel"/>
    <w:tmpl w:val="F82C5A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23E91"/>
    <w:multiLevelType w:val="multilevel"/>
    <w:tmpl w:val="FA4E12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05FB7"/>
    <w:multiLevelType w:val="multilevel"/>
    <w:tmpl w:val="56F0B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34C42"/>
    <w:multiLevelType w:val="hybridMultilevel"/>
    <w:tmpl w:val="AFA4AE3E"/>
    <w:lvl w:ilvl="0" w:tplc="28C47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61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E2B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ABC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A9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429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4F6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C45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274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806BA"/>
    <w:multiLevelType w:val="hybridMultilevel"/>
    <w:tmpl w:val="555AAEBC"/>
    <w:lvl w:ilvl="0" w:tplc="E5BE5E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636A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107E">
      <w:start w:val="1"/>
      <w:numFmt w:val="bullet"/>
      <w:lvlRestart w:val="0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02B48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83E0">
      <w:start w:val="1"/>
      <w:numFmt w:val="bullet"/>
      <w:lvlText w:val="o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65532">
      <w:start w:val="1"/>
      <w:numFmt w:val="bullet"/>
      <w:lvlText w:val="▪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411A4">
      <w:start w:val="1"/>
      <w:numFmt w:val="bullet"/>
      <w:lvlText w:val="•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06C42">
      <w:start w:val="1"/>
      <w:numFmt w:val="bullet"/>
      <w:lvlText w:val="o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328">
      <w:start w:val="1"/>
      <w:numFmt w:val="bullet"/>
      <w:lvlText w:val="▪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FA4CB0"/>
    <w:multiLevelType w:val="hybridMultilevel"/>
    <w:tmpl w:val="8BB0484A"/>
    <w:lvl w:ilvl="0" w:tplc="C3506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F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F7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B0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E2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FB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229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C7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B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DD0E56"/>
    <w:multiLevelType w:val="hybridMultilevel"/>
    <w:tmpl w:val="65B42A88"/>
    <w:lvl w:ilvl="0" w:tplc="0860AB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4F8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E8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44C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243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8D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60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AE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2AA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676051"/>
    <w:multiLevelType w:val="hybridMultilevel"/>
    <w:tmpl w:val="9A10FE74"/>
    <w:lvl w:ilvl="0" w:tplc="37ECC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E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9B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22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18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2E5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065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3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E7E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53369C"/>
    <w:multiLevelType w:val="hybridMultilevel"/>
    <w:tmpl w:val="640A68DE"/>
    <w:lvl w:ilvl="0" w:tplc="7EBA4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039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29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01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018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6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08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E8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C2406B"/>
    <w:multiLevelType w:val="hybridMultilevel"/>
    <w:tmpl w:val="FAE01548"/>
    <w:lvl w:ilvl="0" w:tplc="D14E3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4B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42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2FB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D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E6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09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CE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644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A31AB"/>
    <w:multiLevelType w:val="hybridMultilevel"/>
    <w:tmpl w:val="5D701C5E"/>
    <w:lvl w:ilvl="0" w:tplc="A562513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A2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E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C28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0DF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439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E30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CDF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C4C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51520C"/>
    <w:multiLevelType w:val="multilevel"/>
    <w:tmpl w:val="ACF23C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21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C"/>
    <w:rsid w:val="0004223C"/>
    <w:rsid w:val="00187E18"/>
    <w:rsid w:val="001A0206"/>
    <w:rsid w:val="001A785A"/>
    <w:rsid w:val="001A7F96"/>
    <w:rsid w:val="002559C3"/>
    <w:rsid w:val="00294E91"/>
    <w:rsid w:val="003B528B"/>
    <w:rsid w:val="003C0222"/>
    <w:rsid w:val="00413971"/>
    <w:rsid w:val="004515AF"/>
    <w:rsid w:val="00475824"/>
    <w:rsid w:val="0054099D"/>
    <w:rsid w:val="00642846"/>
    <w:rsid w:val="00687F11"/>
    <w:rsid w:val="006B6FB9"/>
    <w:rsid w:val="006F389D"/>
    <w:rsid w:val="007132B3"/>
    <w:rsid w:val="007538CC"/>
    <w:rsid w:val="008C64D5"/>
    <w:rsid w:val="008E0468"/>
    <w:rsid w:val="0090183C"/>
    <w:rsid w:val="00B130CE"/>
    <w:rsid w:val="00B55F2E"/>
    <w:rsid w:val="00BC5315"/>
    <w:rsid w:val="00D4605D"/>
    <w:rsid w:val="00DA6BFB"/>
    <w:rsid w:val="00E33C12"/>
    <w:rsid w:val="00E40DEE"/>
    <w:rsid w:val="00E7337A"/>
    <w:rsid w:val="00EA4BF1"/>
    <w:rsid w:val="00EE6558"/>
    <w:rsid w:val="00F20D5C"/>
    <w:rsid w:val="00F639FD"/>
    <w:rsid w:val="00F722C3"/>
    <w:rsid w:val="00F9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EE6"/>
  <w15:docId w15:val="{6BAA1B1E-7200-4500-BF5D-99E611C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5A"/>
    <w:pPr>
      <w:spacing w:after="15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A785A"/>
    <w:pPr>
      <w:keepNext/>
      <w:keepLines/>
      <w:numPr>
        <w:numId w:val="22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1A785A"/>
    <w:pPr>
      <w:keepNext/>
      <w:keepLines/>
      <w:spacing w:after="0"/>
      <w:ind w:left="10" w:right="71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85A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1A785A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rsid w:val="001A785A"/>
    <w:pPr>
      <w:spacing w:after="0" w:line="267" w:lineRule="auto"/>
      <w:ind w:right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A785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A785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A78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75824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C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64D5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annotation reference"/>
    <w:basedOn w:val="a0"/>
    <w:uiPriority w:val="99"/>
    <w:semiHidden/>
    <w:unhideWhenUsed/>
    <w:rsid w:val="001A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020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020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0206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1A020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020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020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924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924CC"/>
    <w:rPr>
      <w:rFonts w:cs="Times New Roman"/>
      <w:lang w:val="ru-RU" w:eastAsia="ru-RU"/>
    </w:rPr>
  </w:style>
  <w:style w:type="paragraph" w:customStyle="1" w:styleId="pboth">
    <w:name w:val="pboth"/>
    <w:basedOn w:val="a"/>
    <w:rsid w:val="00D4605D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F639FD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Курсив"/>
    <w:basedOn w:val="a0"/>
    <w:rsid w:val="00F63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63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6267-3101-42A1-8CA3-BC88F0E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cp:lastModifiedBy>Пользователь</cp:lastModifiedBy>
  <cp:revision>5</cp:revision>
  <cp:lastPrinted>2022-07-01T08:47:00Z</cp:lastPrinted>
  <dcterms:created xsi:type="dcterms:W3CDTF">2022-07-01T08:48:00Z</dcterms:created>
  <dcterms:modified xsi:type="dcterms:W3CDTF">2022-07-01T08:51:00Z</dcterms:modified>
</cp:coreProperties>
</file>